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D4" w:rsidRDefault="008F0DD4" w:rsidP="00EB6082">
      <w:pPr>
        <w:spacing w:before="89" w:line="276" w:lineRule="auto"/>
        <w:jc w:val="center"/>
        <w:rPr>
          <w:b/>
          <w:sz w:val="24"/>
          <w:szCs w:val="24"/>
          <w:u w:val="thick"/>
        </w:rPr>
      </w:pPr>
    </w:p>
    <w:p w:rsidR="00EB6082" w:rsidRDefault="000F1448" w:rsidP="000F1448">
      <w:pPr>
        <w:spacing w:before="89" w:line="276" w:lineRule="auto"/>
        <w:rPr>
          <w:b/>
          <w:sz w:val="24"/>
          <w:szCs w:val="24"/>
          <w:u w:val="thick"/>
        </w:rPr>
      </w:pPr>
      <w:r w:rsidRPr="000F1448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thick"/>
        </w:rPr>
        <w:t xml:space="preserve"> </w:t>
      </w:r>
      <w:r w:rsidR="00EB6082" w:rsidRPr="006E2972">
        <w:rPr>
          <w:b/>
          <w:sz w:val="24"/>
          <w:szCs w:val="24"/>
          <w:u w:val="thick"/>
        </w:rPr>
        <w:t xml:space="preserve">ESPECIFICACIÓN TÉCNICA </w:t>
      </w:r>
    </w:p>
    <w:p w:rsidR="00EB6082" w:rsidRDefault="00EB6082" w:rsidP="00A9289C">
      <w:pPr>
        <w:pStyle w:val="Ttulo1"/>
        <w:spacing w:before="93"/>
        <w:ind w:left="0"/>
        <w:jc w:val="center"/>
        <w:rPr>
          <w:sz w:val="28"/>
          <w:szCs w:val="22"/>
          <w:lang w:val="es-ES"/>
        </w:rPr>
      </w:pPr>
    </w:p>
    <w:p w:rsidR="00D650E3" w:rsidRPr="00D650E3" w:rsidRDefault="00D650E3" w:rsidP="000F1448">
      <w:pPr>
        <w:pStyle w:val="Ttulo1"/>
        <w:spacing w:before="93" w:line="276" w:lineRule="auto"/>
        <w:ind w:left="0"/>
        <w:jc w:val="both"/>
        <w:rPr>
          <w:sz w:val="22"/>
          <w:szCs w:val="22"/>
          <w:lang w:val="es-ES"/>
        </w:rPr>
      </w:pPr>
      <w:r w:rsidRPr="00D650E3">
        <w:rPr>
          <w:sz w:val="22"/>
          <w:szCs w:val="22"/>
          <w:lang w:val="es-ES"/>
        </w:rPr>
        <w:t xml:space="preserve">SERVICIO DE FUMIGACIÓN, CONTROL DE PLAGAS  Y LIMPIEZA DE TANQUES PROPIOS DE AGUA POTABLE UTYR ASCOCHINGA DEL INSTITUTO DE LA OBRA SOCIAL DE LAS FUERZAS ARMADAS (IOSFA), POR UN PERIODO </w:t>
      </w:r>
      <w:r w:rsidR="00DD5C8D">
        <w:rPr>
          <w:sz w:val="22"/>
          <w:szCs w:val="22"/>
          <w:lang w:val="es-ES"/>
        </w:rPr>
        <w:t>DE CUATRO (4</w:t>
      </w:r>
      <w:r w:rsidRPr="00D650E3">
        <w:rPr>
          <w:sz w:val="22"/>
          <w:szCs w:val="22"/>
          <w:lang w:val="es-ES"/>
        </w:rPr>
        <w:t>) MESES</w:t>
      </w:r>
      <w:bookmarkStart w:id="0" w:name="_GoBack"/>
      <w:bookmarkEnd w:id="0"/>
      <w:r w:rsidRPr="00D650E3">
        <w:rPr>
          <w:sz w:val="22"/>
          <w:szCs w:val="22"/>
          <w:lang w:val="es-ES"/>
        </w:rPr>
        <w:t>.</w:t>
      </w:r>
    </w:p>
    <w:p w:rsidR="00A9289C" w:rsidRDefault="00A9289C" w:rsidP="00A9289C">
      <w:pPr>
        <w:pStyle w:val="Encabezado"/>
        <w:jc w:val="right"/>
        <w:rPr>
          <w:lang w:val="es-ES"/>
        </w:rPr>
      </w:pPr>
    </w:p>
    <w:p w:rsidR="00BC5F82" w:rsidRPr="00D56265" w:rsidRDefault="00B65224" w:rsidP="00D56265">
      <w:pPr>
        <w:spacing w:line="360" w:lineRule="auto"/>
        <w:ind w:left="2127" w:hanging="1701"/>
        <w:jc w:val="both"/>
        <w:rPr>
          <w:rFonts w:cs="Arial"/>
          <w:b/>
          <w:sz w:val="24"/>
          <w:szCs w:val="22"/>
          <w:u w:val="single"/>
        </w:rPr>
      </w:pPr>
      <w:r>
        <w:rPr>
          <w:rFonts w:cs="Arial"/>
          <w:b/>
          <w:sz w:val="24"/>
          <w:szCs w:val="22"/>
        </w:rPr>
        <w:t>APÉNDICE 5</w:t>
      </w:r>
      <w:r w:rsidR="00D56265">
        <w:rPr>
          <w:rFonts w:cs="Arial"/>
          <w:b/>
          <w:sz w:val="24"/>
          <w:szCs w:val="22"/>
        </w:rPr>
        <w:t>:</w:t>
      </w:r>
      <w:r>
        <w:rPr>
          <w:rFonts w:cs="Arial"/>
          <w:b/>
          <w:sz w:val="24"/>
          <w:szCs w:val="22"/>
        </w:rPr>
        <w:t xml:space="preserve"> </w:t>
      </w:r>
      <w:r w:rsidR="00BC5F82" w:rsidRPr="00D56265">
        <w:rPr>
          <w:rFonts w:cs="Arial"/>
          <w:b/>
          <w:sz w:val="24"/>
          <w:szCs w:val="22"/>
          <w:u w:val="single"/>
        </w:rPr>
        <w:t xml:space="preserve">DOCUMENTACIÓN </w:t>
      </w:r>
      <w:r>
        <w:rPr>
          <w:rFonts w:cs="Arial"/>
          <w:b/>
          <w:sz w:val="24"/>
          <w:szCs w:val="22"/>
          <w:u w:val="single"/>
        </w:rPr>
        <w:t>SEGURIDAD A HIGIENE</w:t>
      </w:r>
      <w:r w:rsidR="00BC5F82" w:rsidRPr="00D56265">
        <w:rPr>
          <w:rFonts w:cs="Arial"/>
          <w:b/>
          <w:sz w:val="24"/>
          <w:szCs w:val="22"/>
          <w:u w:val="single"/>
        </w:rPr>
        <w:t xml:space="preserve"> PARA INICIO</w:t>
      </w:r>
      <w:r>
        <w:rPr>
          <w:rFonts w:cs="Arial"/>
          <w:b/>
          <w:sz w:val="24"/>
          <w:szCs w:val="22"/>
          <w:u w:val="single"/>
        </w:rPr>
        <w:t xml:space="preserve"> DE LA</w:t>
      </w:r>
      <w:r w:rsidR="00BC5F82" w:rsidRPr="00D56265">
        <w:rPr>
          <w:rFonts w:cs="Arial"/>
          <w:b/>
          <w:sz w:val="24"/>
          <w:szCs w:val="22"/>
          <w:u w:val="single"/>
        </w:rPr>
        <w:t xml:space="preserve"> PRESTACIÓN DEL SERVICIO</w:t>
      </w:r>
    </w:p>
    <w:p w:rsidR="00BC5F82" w:rsidRDefault="00BC5F82" w:rsidP="00BC5F82">
      <w:pPr>
        <w:pStyle w:val="Prrafodelista"/>
        <w:tabs>
          <w:tab w:val="left" w:pos="284"/>
        </w:tabs>
        <w:spacing w:line="360" w:lineRule="auto"/>
        <w:ind w:left="360" w:firstLine="0"/>
        <w:jc w:val="both"/>
        <w:rPr>
          <w:lang w:val="es-ES"/>
        </w:rPr>
      </w:pPr>
    </w:p>
    <w:p w:rsidR="00BC5F82" w:rsidRDefault="00BC5F82" w:rsidP="00BC5F82">
      <w:pPr>
        <w:pStyle w:val="Prrafodelista"/>
        <w:tabs>
          <w:tab w:val="left" w:pos="284"/>
        </w:tabs>
        <w:spacing w:line="360" w:lineRule="auto"/>
        <w:ind w:left="360" w:firstLine="0"/>
        <w:jc w:val="both"/>
        <w:rPr>
          <w:lang w:val="es-ES"/>
        </w:rPr>
      </w:pPr>
      <w:r>
        <w:rPr>
          <w:lang w:val="es-ES"/>
        </w:rPr>
        <w:t xml:space="preserve">Toda </w:t>
      </w:r>
      <w:r w:rsidRPr="004C07CF">
        <w:rPr>
          <w:lang w:val="es-ES"/>
        </w:rPr>
        <w:t>documentación indicada en este a</w:t>
      </w:r>
      <w:r w:rsidR="001966F2">
        <w:rPr>
          <w:lang w:val="es-ES"/>
        </w:rPr>
        <w:t>péndice</w:t>
      </w:r>
      <w:r w:rsidRPr="004C07CF">
        <w:rPr>
          <w:lang w:val="es-ES"/>
        </w:rPr>
        <w:t xml:space="preserve"> deberá ser suministrada </w:t>
      </w:r>
      <w:r w:rsidRPr="00B726BE">
        <w:rPr>
          <w:lang w:val="es-ES"/>
        </w:rPr>
        <w:t>dentro de los</w:t>
      </w:r>
      <w:r w:rsidR="00D56265">
        <w:rPr>
          <w:lang w:val="es-ES"/>
        </w:rPr>
        <w:t xml:space="preserve"> </w:t>
      </w:r>
      <w:r w:rsidRPr="00B726BE">
        <w:rPr>
          <w:lang w:val="es-ES"/>
        </w:rPr>
        <w:t>CINCO (5)</w:t>
      </w:r>
      <w:r w:rsidR="006E3904">
        <w:rPr>
          <w:lang w:val="es-ES"/>
        </w:rPr>
        <w:t xml:space="preserve"> </w:t>
      </w:r>
      <w:r w:rsidRPr="00B726BE">
        <w:rPr>
          <w:lang w:val="es-ES"/>
        </w:rPr>
        <w:t>días</w:t>
      </w:r>
      <w:r w:rsidR="006E3904">
        <w:rPr>
          <w:lang w:val="es-ES"/>
        </w:rPr>
        <w:t xml:space="preserve"> </w:t>
      </w:r>
      <w:r w:rsidRPr="00B726BE">
        <w:rPr>
          <w:lang w:val="es-ES"/>
        </w:rPr>
        <w:t>hábiles</w:t>
      </w:r>
      <w:r w:rsidR="006E3904">
        <w:rPr>
          <w:lang w:val="es-ES"/>
        </w:rPr>
        <w:t xml:space="preserve"> </w:t>
      </w:r>
      <w:r w:rsidRPr="00B726BE">
        <w:rPr>
          <w:lang w:val="es-ES"/>
        </w:rPr>
        <w:t>contados a partir de la comunicación</w:t>
      </w:r>
      <w:r w:rsidR="006E3904">
        <w:rPr>
          <w:lang w:val="es-ES"/>
        </w:rPr>
        <w:t xml:space="preserve"> </w:t>
      </w:r>
      <w:r w:rsidRPr="00B726BE">
        <w:rPr>
          <w:lang w:val="es-ES"/>
        </w:rPr>
        <w:t xml:space="preserve">fehaciente de la </w:t>
      </w:r>
      <w:r w:rsidR="001966F2">
        <w:rPr>
          <w:lang w:val="es-ES"/>
        </w:rPr>
        <w:t>Orden de Compra</w:t>
      </w:r>
      <w:r w:rsidRPr="00B726BE">
        <w:rPr>
          <w:lang w:val="es-ES"/>
        </w:rPr>
        <w:t xml:space="preserve"> y previo a dar</w:t>
      </w:r>
      <w:r w:rsidR="006E3904">
        <w:rPr>
          <w:lang w:val="es-ES"/>
        </w:rPr>
        <w:t xml:space="preserve"> </w:t>
      </w:r>
      <w:r w:rsidRPr="00B726BE">
        <w:rPr>
          <w:lang w:val="es-ES"/>
        </w:rPr>
        <w:t>comienzo a la prestación del servicio</w:t>
      </w:r>
      <w:r>
        <w:rPr>
          <w:lang w:val="es-ES"/>
        </w:rPr>
        <w:t>, como así también deberá actualizarse ante modificaciones en la nómina del personal con la misma anticipación.</w:t>
      </w:r>
    </w:p>
    <w:p w:rsidR="00BC5F82" w:rsidRPr="004C07CF" w:rsidRDefault="00BC5F82" w:rsidP="00BC5F82">
      <w:pPr>
        <w:tabs>
          <w:tab w:val="left" w:pos="284"/>
        </w:tabs>
        <w:spacing w:line="360" w:lineRule="auto"/>
        <w:rPr>
          <w:lang w:val="es-ES"/>
        </w:rPr>
      </w:pPr>
    </w:p>
    <w:p w:rsidR="00BC5F82" w:rsidRPr="009D29B9" w:rsidRDefault="00E82D9C" w:rsidP="00BC5F82">
      <w:pPr>
        <w:numPr>
          <w:ilvl w:val="0"/>
          <w:numId w:val="1"/>
        </w:numPr>
        <w:spacing w:line="360" w:lineRule="auto"/>
        <w:jc w:val="both"/>
        <w:rPr>
          <w:rFonts w:cs="Arial"/>
          <w:b/>
          <w:sz w:val="22"/>
          <w:szCs w:val="22"/>
        </w:rPr>
      </w:pPr>
      <w:r w:rsidRPr="009D29B9">
        <w:rPr>
          <w:b/>
          <w:sz w:val="22"/>
          <w:lang w:val="es-ES"/>
        </w:rPr>
        <w:t>SEGUROS</w:t>
      </w:r>
    </w:p>
    <w:p w:rsidR="00BC5F82" w:rsidRPr="009D29B9" w:rsidRDefault="00E82D9C" w:rsidP="00E82D9C">
      <w:pPr>
        <w:numPr>
          <w:ilvl w:val="1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9D29B9">
        <w:rPr>
          <w:rFonts w:cs="Arial"/>
          <w:sz w:val="22"/>
          <w:szCs w:val="22"/>
        </w:rPr>
        <w:t>De vida obligatorio: El adjudicatario deberá asegurar al personal a su cargo en los lugares donde se desarrollar</w:t>
      </w:r>
      <w:r w:rsidR="00042ACA" w:rsidRPr="009D29B9">
        <w:rPr>
          <w:rFonts w:cs="Arial"/>
          <w:sz w:val="22"/>
          <w:szCs w:val="22"/>
        </w:rPr>
        <w:t>an los trabajos, con una cobertura de Vida Obligatorio, mediante pólizas individuales, según las condiciones que sobre este riesgo establece el Decreto 1567/74.</w:t>
      </w:r>
    </w:p>
    <w:p w:rsidR="00042ACA" w:rsidRPr="009D29B9" w:rsidRDefault="00042ACA" w:rsidP="00E82D9C">
      <w:pPr>
        <w:numPr>
          <w:ilvl w:val="1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9D29B9">
        <w:rPr>
          <w:rFonts w:cs="Arial"/>
          <w:sz w:val="22"/>
          <w:szCs w:val="22"/>
        </w:rPr>
        <w:t>De responsabilidad civil comprensiva: Antes de la iniciación de los t</w:t>
      </w:r>
      <w:r w:rsidR="007B6248" w:rsidRPr="009D29B9">
        <w:rPr>
          <w:rFonts w:cs="Arial"/>
          <w:sz w:val="22"/>
          <w:szCs w:val="22"/>
        </w:rPr>
        <w:t>rabajos, el adjudicatario tomará</w:t>
      </w:r>
      <w:r w:rsidRPr="009D29B9">
        <w:rPr>
          <w:rFonts w:cs="Arial"/>
          <w:sz w:val="22"/>
          <w:szCs w:val="22"/>
        </w:rPr>
        <w:t xml:space="preserve"> a su exclusivo costo, un seguro de responsabilidad civil comprensiva a su nombre y el del </w:t>
      </w:r>
      <w:r w:rsidR="007B6248" w:rsidRPr="009D29B9">
        <w:rPr>
          <w:rFonts w:cs="Arial"/>
          <w:sz w:val="22"/>
          <w:szCs w:val="22"/>
        </w:rPr>
        <w:t>IOSFA</w:t>
      </w:r>
      <w:r w:rsidR="00BB2826" w:rsidRPr="009D29B9">
        <w:rPr>
          <w:rFonts w:cs="Arial"/>
          <w:sz w:val="22"/>
          <w:szCs w:val="22"/>
        </w:rPr>
        <w:t xml:space="preserve">, en forma conjunta de manera que la indemnización resultante sea la misma que si se tratase de </w:t>
      </w:r>
      <w:r w:rsidR="007B6248" w:rsidRPr="009D29B9">
        <w:rPr>
          <w:rFonts w:cs="Arial"/>
          <w:sz w:val="22"/>
          <w:szCs w:val="22"/>
        </w:rPr>
        <w:t>pólizas</w:t>
      </w:r>
      <w:r w:rsidR="00BB2826" w:rsidRPr="009D29B9">
        <w:rPr>
          <w:rFonts w:cs="Arial"/>
          <w:sz w:val="22"/>
          <w:szCs w:val="22"/>
        </w:rPr>
        <w:t xml:space="preserve"> separadas por cualquier daño, perdida o lesión que pudiera sobrevenir sobre los bienes o personas ( tanto de la empresa como los del Instituto), por hecho ocurridos como consecuencia de la ejecución del contrato. La  cobertura no deberá ser inferior al importe</w:t>
      </w:r>
      <w:r w:rsidR="007B6248" w:rsidRPr="009D29B9">
        <w:rPr>
          <w:rFonts w:cs="Arial"/>
          <w:sz w:val="22"/>
          <w:szCs w:val="22"/>
        </w:rPr>
        <w:t xml:space="preserve"> total</w:t>
      </w:r>
      <w:r w:rsidR="00BB2826" w:rsidRPr="009D29B9">
        <w:rPr>
          <w:rFonts w:cs="Arial"/>
          <w:sz w:val="22"/>
          <w:szCs w:val="22"/>
        </w:rPr>
        <w:t xml:space="preserve"> del contrato.</w:t>
      </w:r>
    </w:p>
    <w:p w:rsidR="00BB2826" w:rsidRDefault="00BB2826" w:rsidP="00BB2826">
      <w:pPr>
        <w:numPr>
          <w:ilvl w:val="1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coberturas adicionales: </w:t>
      </w:r>
    </w:p>
    <w:p w:rsidR="00BB2826" w:rsidRDefault="00BB2826" w:rsidP="00BB2826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CLAUSULA de Asegurado Adicional;</w:t>
      </w:r>
    </w:p>
    <w:p w:rsidR="00BB2826" w:rsidRDefault="00BB2826" w:rsidP="00BB2826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CLAUSULA de No </w:t>
      </w:r>
      <w:r w:rsidR="007B6248">
        <w:rPr>
          <w:rFonts w:cs="Arial"/>
          <w:sz w:val="22"/>
          <w:szCs w:val="22"/>
        </w:rPr>
        <w:t>Repetición</w:t>
      </w:r>
      <w:r>
        <w:rPr>
          <w:rFonts w:cs="Arial"/>
          <w:sz w:val="22"/>
          <w:szCs w:val="22"/>
        </w:rPr>
        <w:t xml:space="preserve"> y/o </w:t>
      </w:r>
      <w:r w:rsidR="007B6248">
        <w:rPr>
          <w:rFonts w:cs="Arial"/>
          <w:sz w:val="22"/>
          <w:szCs w:val="22"/>
        </w:rPr>
        <w:t>Subrogación</w:t>
      </w:r>
      <w:r>
        <w:rPr>
          <w:rFonts w:cs="Arial"/>
          <w:sz w:val="22"/>
          <w:szCs w:val="22"/>
        </w:rPr>
        <w:t>;</w:t>
      </w:r>
    </w:p>
    <w:p w:rsidR="00BB2826" w:rsidRDefault="00BB2826" w:rsidP="00BB2826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CLAUSULA de No </w:t>
      </w:r>
      <w:r w:rsidR="007B6248">
        <w:rPr>
          <w:rFonts w:cs="Arial"/>
          <w:sz w:val="22"/>
          <w:szCs w:val="22"/>
        </w:rPr>
        <w:t>Modificación</w:t>
      </w:r>
      <w:r>
        <w:rPr>
          <w:rFonts w:cs="Arial"/>
          <w:sz w:val="22"/>
          <w:szCs w:val="22"/>
        </w:rPr>
        <w:t xml:space="preserve"> y/o </w:t>
      </w:r>
      <w:r w:rsidR="007B6248">
        <w:rPr>
          <w:rFonts w:cs="Arial"/>
          <w:sz w:val="22"/>
          <w:szCs w:val="22"/>
        </w:rPr>
        <w:t>Cancelación</w:t>
      </w:r>
      <w:r>
        <w:rPr>
          <w:rFonts w:cs="Arial"/>
          <w:sz w:val="22"/>
          <w:szCs w:val="22"/>
        </w:rPr>
        <w:t xml:space="preserve"> del Contrato de Seguro sin previa notificación con una antelación no menor a TREINTA (30) días.</w:t>
      </w:r>
    </w:p>
    <w:p w:rsidR="00BB2826" w:rsidRDefault="00BB2826" w:rsidP="00BB2826">
      <w:pPr>
        <w:numPr>
          <w:ilvl w:val="1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Riesgos del Trabajo (A.R.T.): El adjudicatario deberá contratar un seguro sobre los Riesgos del Trabajo </w:t>
      </w:r>
      <w:r w:rsidR="009C296C">
        <w:rPr>
          <w:rFonts w:cs="Arial"/>
          <w:sz w:val="22"/>
          <w:szCs w:val="22"/>
        </w:rPr>
        <w:t>y acreditar su existencia antes de iniciar los trabajos, para el personal a su cargo que cumpla funciones en el edificio donde se desarrollaran los mism</w:t>
      </w:r>
      <w:r w:rsidR="007B6248">
        <w:rPr>
          <w:rFonts w:cs="Arial"/>
          <w:sz w:val="22"/>
          <w:szCs w:val="22"/>
        </w:rPr>
        <w:t xml:space="preserve">os y en un todo de </w:t>
      </w:r>
      <w:r w:rsidR="007B6248">
        <w:rPr>
          <w:rFonts w:cs="Arial"/>
          <w:sz w:val="22"/>
          <w:szCs w:val="22"/>
        </w:rPr>
        <w:lastRenderedPageBreak/>
        <w:t>acuerdo a lo</w:t>
      </w:r>
      <w:r w:rsidR="009C296C">
        <w:rPr>
          <w:rFonts w:cs="Arial"/>
          <w:sz w:val="22"/>
          <w:szCs w:val="22"/>
        </w:rPr>
        <w:t xml:space="preserve"> previsto por la Ley sobre Riesgos del Trabajo Nro. 24.557. las </w:t>
      </w:r>
      <w:r w:rsidR="007B6248">
        <w:rPr>
          <w:rFonts w:cs="Arial"/>
          <w:sz w:val="22"/>
          <w:szCs w:val="22"/>
        </w:rPr>
        <w:t>condiciones</w:t>
      </w:r>
      <w:r w:rsidR="009C296C">
        <w:rPr>
          <w:rFonts w:cs="Arial"/>
          <w:sz w:val="22"/>
          <w:szCs w:val="22"/>
        </w:rPr>
        <w:t xml:space="preserve"> de cobertura deberán ser las que prevé la citada Ley.</w:t>
      </w:r>
    </w:p>
    <w:p w:rsidR="009C296C" w:rsidRDefault="009C296C" w:rsidP="00BB2826">
      <w:pPr>
        <w:numPr>
          <w:ilvl w:val="1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Trabajos en altura: El adjudicatario deberá contratar un seguro con cobertura para trabajos en altura, para aquellas actividades que </w:t>
      </w:r>
      <w:r w:rsidR="007B6248">
        <w:rPr>
          <w:rFonts w:cs="Arial"/>
          <w:sz w:val="22"/>
          <w:szCs w:val="22"/>
        </w:rPr>
        <w:t>así</w:t>
      </w:r>
      <w:r>
        <w:rPr>
          <w:rFonts w:cs="Arial"/>
          <w:sz w:val="22"/>
          <w:szCs w:val="22"/>
        </w:rPr>
        <w:t xml:space="preserve"> lo requieran al personal afectado a dichas tareas.</w:t>
      </w:r>
    </w:p>
    <w:p w:rsidR="009C296C" w:rsidRDefault="009C296C" w:rsidP="00BB2826">
      <w:pPr>
        <w:numPr>
          <w:ilvl w:val="1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Requisitos del Seguro Responsabilidad </w:t>
      </w:r>
      <w:r w:rsidR="007B6248">
        <w:rPr>
          <w:rFonts w:cs="Arial"/>
          <w:sz w:val="22"/>
          <w:szCs w:val="22"/>
        </w:rPr>
        <w:t>Civil</w:t>
      </w:r>
      <w:r>
        <w:rPr>
          <w:rFonts w:cs="Arial"/>
          <w:sz w:val="22"/>
          <w:szCs w:val="22"/>
        </w:rPr>
        <w:t xml:space="preserve">: </w:t>
      </w:r>
    </w:p>
    <w:p w:rsidR="009C296C" w:rsidRDefault="009C296C" w:rsidP="009C296C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</w:t>
      </w:r>
      <w:r w:rsidR="007B6248">
        <w:rPr>
          <w:rFonts w:cs="Arial"/>
          <w:sz w:val="22"/>
          <w:szCs w:val="22"/>
        </w:rPr>
        <w:t>Póliza</w:t>
      </w:r>
      <w:r>
        <w:rPr>
          <w:rFonts w:cs="Arial"/>
          <w:sz w:val="22"/>
          <w:szCs w:val="22"/>
        </w:rPr>
        <w:t xml:space="preserve"> deberá tener una vigencia temporal igual a la duración del contrato;</w:t>
      </w:r>
    </w:p>
    <w:p w:rsidR="009C296C" w:rsidRDefault="009C296C" w:rsidP="009C296C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Ubicación del riesgo: lugares de la prestación del servicio.</w:t>
      </w:r>
    </w:p>
    <w:p w:rsidR="009C296C" w:rsidRDefault="009C296C" w:rsidP="009C296C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Objeto: detalle de los trabajos a ejecutar.</w:t>
      </w:r>
    </w:p>
    <w:p w:rsidR="009C296C" w:rsidRDefault="009C296C" w:rsidP="009C296C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Monto total de la orden de compra.</w:t>
      </w:r>
    </w:p>
    <w:p w:rsidR="009C296C" w:rsidRDefault="009C296C" w:rsidP="009C296C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 se admitirá auto</w:t>
      </w:r>
      <w:r w:rsidR="007B62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seguro.</w:t>
      </w:r>
    </w:p>
    <w:p w:rsidR="009C296C" w:rsidRDefault="009C296C" w:rsidP="009C296C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 INSTITUTO DE OBRA SOCIAL DE LAS FUERZAS ARMADAS </w:t>
      </w:r>
      <w:r w:rsidR="00020B9C">
        <w:rPr>
          <w:rFonts w:cs="Arial"/>
          <w:sz w:val="22"/>
          <w:szCs w:val="22"/>
        </w:rPr>
        <w:t>se constituirá como asegurado.</w:t>
      </w:r>
    </w:p>
    <w:p w:rsidR="00020B9C" w:rsidRDefault="00020B9C" w:rsidP="00020B9C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 se admitirán endosos sobre pólizas existentes. A fin de no demorar el inicio de las tareas contratadas, se aceptara la presentación de un Certificado de Cobertura Expedido por la compañía aseguradora como constancia de que la </w:t>
      </w:r>
      <w:r w:rsidR="007B6248">
        <w:rPr>
          <w:rFonts w:cs="Arial"/>
          <w:sz w:val="22"/>
          <w:szCs w:val="22"/>
        </w:rPr>
        <w:t>póliza</w:t>
      </w:r>
      <w:r>
        <w:rPr>
          <w:rFonts w:cs="Arial"/>
          <w:sz w:val="22"/>
          <w:szCs w:val="22"/>
        </w:rPr>
        <w:t xml:space="preserve"> se encuentra en </w:t>
      </w:r>
      <w:r w:rsidR="007B6248">
        <w:rPr>
          <w:rFonts w:cs="Arial"/>
          <w:sz w:val="22"/>
          <w:szCs w:val="22"/>
        </w:rPr>
        <w:t>trámite</w:t>
      </w:r>
      <w:r>
        <w:rPr>
          <w:rFonts w:cs="Arial"/>
          <w:sz w:val="22"/>
          <w:szCs w:val="22"/>
        </w:rPr>
        <w:t>, cuyo original deberá ser presentado en un plazo de TREINTA (30) días corridos contados a partir de la notificación de la Orden de Compra acompañado por el comprobante de pago respectivo.</w:t>
      </w:r>
    </w:p>
    <w:p w:rsidR="00020B9C" w:rsidRDefault="00020B9C" w:rsidP="00020B9C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Todas las pólizas contratadas en este procedimiento serán con empresas aprobadas por la SUPERINTENDENCIA DE SEGUROS DE LA NACION.</w:t>
      </w:r>
    </w:p>
    <w:p w:rsidR="00020B9C" w:rsidRDefault="00020B9C" w:rsidP="00020B9C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 IOSFA podrá requerir </w:t>
      </w:r>
      <w:r w:rsidR="007B6248">
        <w:rPr>
          <w:rFonts w:cs="Arial"/>
          <w:sz w:val="22"/>
          <w:szCs w:val="22"/>
        </w:rPr>
        <w:t>durante</w:t>
      </w:r>
      <w:r>
        <w:rPr>
          <w:rFonts w:cs="Arial"/>
          <w:sz w:val="22"/>
          <w:szCs w:val="22"/>
        </w:rPr>
        <w:t xml:space="preserve"> el transcurso de la vigencia de las </w:t>
      </w:r>
      <w:r w:rsidR="007B6248">
        <w:rPr>
          <w:rFonts w:cs="Arial"/>
          <w:sz w:val="22"/>
          <w:szCs w:val="22"/>
        </w:rPr>
        <w:t>pólizas</w:t>
      </w:r>
      <w:r>
        <w:rPr>
          <w:rFonts w:cs="Arial"/>
          <w:sz w:val="22"/>
          <w:szCs w:val="22"/>
        </w:rPr>
        <w:t xml:space="preserve"> el cambio de Asegurador en caso de lesionarse la estructura económico-financiera de </w:t>
      </w:r>
      <w:r w:rsidR="00D526A5">
        <w:rPr>
          <w:rFonts w:cs="Arial"/>
          <w:sz w:val="22"/>
          <w:szCs w:val="22"/>
        </w:rPr>
        <w:t>éste</w:t>
      </w:r>
      <w:r>
        <w:rPr>
          <w:rFonts w:cs="Arial"/>
          <w:sz w:val="22"/>
          <w:szCs w:val="22"/>
        </w:rPr>
        <w:t>, o por otras razones debidamente fundadas. Esta modificación no ocasionara ningún  costo al Instituto.</w:t>
      </w:r>
    </w:p>
    <w:p w:rsidR="00020B9C" w:rsidRDefault="00020B9C" w:rsidP="00020B9C">
      <w:pPr>
        <w:numPr>
          <w:ilvl w:val="1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 se realizan trabajos en altura (Limpieza de Tanques) </w:t>
      </w:r>
      <w:r w:rsidR="007B6248">
        <w:rPr>
          <w:rFonts w:cs="Arial"/>
          <w:sz w:val="22"/>
          <w:szCs w:val="22"/>
        </w:rPr>
        <w:t>deberán</w:t>
      </w:r>
      <w:r>
        <w:rPr>
          <w:rFonts w:cs="Arial"/>
          <w:sz w:val="22"/>
          <w:szCs w:val="22"/>
        </w:rPr>
        <w:t xml:space="preserve">: </w:t>
      </w:r>
    </w:p>
    <w:p w:rsidR="00020B9C" w:rsidRDefault="00020B9C" w:rsidP="00020B9C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Efectuar la denuncia pertinente en su A</w:t>
      </w:r>
      <w:r w:rsidR="00D526A5">
        <w:rPr>
          <w:rFonts w:cs="Arial"/>
          <w:sz w:val="22"/>
          <w:szCs w:val="22"/>
        </w:rPr>
        <w:t>RT y presentar constancias a</w:t>
      </w:r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IOSFA .</w:t>
      </w:r>
      <w:proofErr w:type="gramEnd"/>
    </w:p>
    <w:p w:rsidR="00020B9C" w:rsidRDefault="00020B9C" w:rsidP="00020B9C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Establecerlo e</w:t>
      </w:r>
      <w:r w:rsidR="00DA7278">
        <w:rPr>
          <w:rFonts w:cs="Arial"/>
          <w:sz w:val="22"/>
          <w:szCs w:val="22"/>
        </w:rPr>
        <w:t>n el Programa de Tareas Seguras.</w:t>
      </w:r>
    </w:p>
    <w:p w:rsidR="00DA7278" w:rsidRDefault="00DA7278" w:rsidP="00DA7278">
      <w:pPr>
        <w:numPr>
          <w:ilvl w:val="2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Dejar constancia en Planilla Resolución SRT 299/11 de los EPP pertinentes para la tarea en altura.</w:t>
      </w:r>
    </w:p>
    <w:p w:rsidR="00DA7278" w:rsidRDefault="00DA7278" w:rsidP="00DA7278">
      <w:pPr>
        <w:spacing w:line="360" w:lineRule="auto"/>
        <w:jc w:val="both"/>
        <w:rPr>
          <w:rFonts w:cs="Arial"/>
          <w:sz w:val="22"/>
          <w:szCs w:val="22"/>
        </w:rPr>
      </w:pPr>
    </w:p>
    <w:p w:rsidR="00DA7278" w:rsidRPr="0083365D" w:rsidRDefault="00DA7278" w:rsidP="00BC5F82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83365D">
        <w:rPr>
          <w:rFonts w:cs="Arial"/>
          <w:sz w:val="22"/>
          <w:szCs w:val="22"/>
        </w:rPr>
        <w:t xml:space="preserve">Datos del responsable de Higiene y Seguridad en el Trabajo (Nombre y Apellido, </w:t>
      </w:r>
      <w:r w:rsidR="007B6248" w:rsidRPr="0083365D">
        <w:rPr>
          <w:rFonts w:cs="Arial"/>
          <w:sz w:val="22"/>
          <w:szCs w:val="22"/>
        </w:rPr>
        <w:t>Dirección</w:t>
      </w:r>
      <w:r w:rsidRPr="0083365D">
        <w:rPr>
          <w:rFonts w:cs="Arial"/>
          <w:sz w:val="22"/>
          <w:szCs w:val="22"/>
        </w:rPr>
        <w:t>, correo electrónico y teléfono) y fotocopia de la matricula vigente.</w:t>
      </w:r>
    </w:p>
    <w:p w:rsidR="00BC5F82" w:rsidRPr="0083365D" w:rsidRDefault="00DA7278" w:rsidP="00BC5F82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83365D">
        <w:rPr>
          <w:rFonts w:cs="Arial"/>
          <w:sz w:val="22"/>
          <w:szCs w:val="22"/>
        </w:rPr>
        <w:t>Datos del Técnico en Higiene y Seguridad designado para la locación (Nombre y Apellido, dirección, correo electrónico y teléfono) fotocopia de la matricula vigente.</w:t>
      </w:r>
    </w:p>
    <w:p w:rsidR="00DA7278" w:rsidRPr="0083365D" w:rsidRDefault="00DA7278" w:rsidP="00DA7278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83365D">
        <w:rPr>
          <w:rFonts w:cs="Arial"/>
          <w:sz w:val="22"/>
          <w:szCs w:val="22"/>
        </w:rPr>
        <w:lastRenderedPageBreak/>
        <w:t>Nomina del Personal designado indicando horarios de trabajo (Si hubiera variaciones durante la vigencia del contrato, se deberá comunicar de manera inmediata)</w:t>
      </w:r>
    </w:p>
    <w:p w:rsidR="00DA7278" w:rsidRPr="0083365D" w:rsidRDefault="00DA7278" w:rsidP="00DA7278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83365D">
        <w:rPr>
          <w:rFonts w:cs="Arial"/>
          <w:sz w:val="22"/>
          <w:szCs w:val="22"/>
        </w:rPr>
        <w:t>Certificado de alta en AFIP del personal en relación de dependencia.</w:t>
      </w:r>
    </w:p>
    <w:p w:rsidR="00DA7278" w:rsidRPr="0083365D" w:rsidRDefault="00DA7278" w:rsidP="00DA7278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83365D">
        <w:rPr>
          <w:rFonts w:cs="Arial"/>
          <w:sz w:val="22"/>
          <w:szCs w:val="22"/>
        </w:rPr>
        <w:t>Presentar Protocolo y MIP (Manejo Integral de Plagas), firmado por el Técnico Responsable de la Empresa.</w:t>
      </w:r>
    </w:p>
    <w:p w:rsidR="00DA7278" w:rsidRPr="0083365D" w:rsidRDefault="00DA7278" w:rsidP="00DA7278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83365D">
        <w:rPr>
          <w:rFonts w:cs="Arial"/>
          <w:sz w:val="22"/>
          <w:szCs w:val="22"/>
        </w:rPr>
        <w:t>Copias de fichas de Datos de Seguridad</w:t>
      </w:r>
      <w:r w:rsidR="007B6248" w:rsidRPr="0083365D">
        <w:rPr>
          <w:rFonts w:cs="Arial"/>
          <w:sz w:val="22"/>
          <w:szCs w:val="22"/>
        </w:rPr>
        <w:t xml:space="preserve"> (Sistema Globalmente Armonizado de Clasificación y Etiquetado de Productos Químicos-SGA)</w:t>
      </w:r>
      <w:r w:rsidRPr="0083365D">
        <w:rPr>
          <w:rFonts w:cs="Arial"/>
          <w:sz w:val="22"/>
          <w:szCs w:val="22"/>
        </w:rPr>
        <w:t xml:space="preserve"> </w:t>
      </w:r>
      <w:r w:rsidR="007B6248" w:rsidRPr="0083365D">
        <w:rPr>
          <w:rFonts w:cs="Arial"/>
          <w:sz w:val="22"/>
          <w:szCs w:val="22"/>
        </w:rPr>
        <w:t>de los productos químicos utilizados.</w:t>
      </w:r>
    </w:p>
    <w:p w:rsidR="007B6248" w:rsidRPr="0083365D" w:rsidRDefault="007B6248" w:rsidP="00DA7278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83365D">
        <w:rPr>
          <w:rFonts w:cs="Arial"/>
          <w:sz w:val="22"/>
          <w:szCs w:val="22"/>
        </w:rPr>
        <w:t>Equipos y maquinarias a emplear, registro de los operadores habilitados.</w:t>
      </w:r>
    </w:p>
    <w:p w:rsidR="007B6248" w:rsidRPr="00DA7278" w:rsidRDefault="007B6248" w:rsidP="007B6248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sectPr w:rsidR="007B6248" w:rsidRPr="00DA7278" w:rsidSect="00D56265">
      <w:headerReference w:type="default" r:id="rId9"/>
      <w:footerReference w:type="default" r:id="rId10"/>
      <w:pgSz w:w="11906" w:h="16838" w:code="9"/>
      <w:pgMar w:top="851" w:right="567" w:bottom="737" w:left="1418" w:header="1985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5C" w:rsidRDefault="002A3A5C" w:rsidP="002D5918">
      <w:r>
        <w:separator/>
      </w:r>
    </w:p>
  </w:endnote>
  <w:endnote w:type="continuationSeparator" w:id="0">
    <w:p w:rsidR="002A3A5C" w:rsidRDefault="002A3A5C" w:rsidP="002D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7834726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8F0DD4" w:rsidRPr="009F428C" w:rsidRDefault="008F0DD4">
            <w:pPr>
              <w:pStyle w:val="Piedepgina"/>
              <w:jc w:val="center"/>
              <w:rPr>
                <w:sz w:val="20"/>
              </w:rPr>
            </w:pPr>
            <w:r w:rsidRPr="009F428C">
              <w:rPr>
                <w:sz w:val="20"/>
              </w:rPr>
              <w:t xml:space="preserve">Página </w:t>
            </w:r>
            <w:r w:rsidR="00C37631" w:rsidRPr="009F428C">
              <w:rPr>
                <w:sz w:val="20"/>
              </w:rPr>
              <w:fldChar w:fldCharType="begin"/>
            </w:r>
            <w:r w:rsidRPr="009F428C">
              <w:rPr>
                <w:sz w:val="20"/>
              </w:rPr>
              <w:instrText>PAGE</w:instrText>
            </w:r>
            <w:r w:rsidR="00C37631" w:rsidRPr="009F428C">
              <w:rPr>
                <w:sz w:val="20"/>
              </w:rPr>
              <w:fldChar w:fldCharType="separate"/>
            </w:r>
            <w:r w:rsidR="00DD5C8D">
              <w:rPr>
                <w:noProof/>
                <w:sz w:val="20"/>
              </w:rPr>
              <w:t>1</w:t>
            </w:r>
            <w:r w:rsidR="00C37631" w:rsidRPr="009F428C">
              <w:rPr>
                <w:sz w:val="20"/>
              </w:rPr>
              <w:fldChar w:fldCharType="end"/>
            </w:r>
            <w:r w:rsidRPr="009F428C">
              <w:rPr>
                <w:sz w:val="20"/>
              </w:rPr>
              <w:t xml:space="preserve"> de </w:t>
            </w:r>
            <w:r w:rsidR="00C37631" w:rsidRPr="009F428C">
              <w:rPr>
                <w:sz w:val="20"/>
              </w:rPr>
              <w:fldChar w:fldCharType="begin"/>
            </w:r>
            <w:r w:rsidRPr="009F428C">
              <w:rPr>
                <w:sz w:val="20"/>
              </w:rPr>
              <w:instrText>NUMPAGES</w:instrText>
            </w:r>
            <w:r w:rsidR="00C37631" w:rsidRPr="009F428C">
              <w:rPr>
                <w:sz w:val="20"/>
              </w:rPr>
              <w:fldChar w:fldCharType="separate"/>
            </w:r>
            <w:r w:rsidR="00DD5C8D">
              <w:rPr>
                <w:noProof/>
                <w:sz w:val="20"/>
              </w:rPr>
              <w:t>3</w:t>
            </w:r>
            <w:r w:rsidR="00C37631" w:rsidRPr="009F428C">
              <w:rPr>
                <w:sz w:val="20"/>
              </w:rPr>
              <w:fldChar w:fldCharType="end"/>
            </w:r>
          </w:p>
        </w:sdtContent>
      </w:sdt>
    </w:sdtContent>
  </w:sdt>
  <w:p w:rsidR="008F0DD4" w:rsidRDefault="008F0D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5C" w:rsidRDefault="002A3A5C" w:rsidP="002D5918">
      <w:r>
        <w:separator/>
      </w:r>
    </w:p>
  </w:footnote>
  <w:footnote w:type="continuationSeparator" w:id="0">
    <w:p w:rsidR="002A3A5C" w:rsidRDefault="002A3A5C" w:rsidP="002D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D4" w:rsidRDefault="008F0DD4" w:rsidP="008D3F93">
    <w:pPr>
      <w:pStyle w:val="Encabezado"/>
      <w:jc w:val="right"/>
      <w:rPr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-33020</wp:posOffset>
          </wp:positionH>
          <wp:positionV relativeFrom="paragraph">
            <wp:posOffset>-889000</wp:posOffset>
          </wp:positionV>
          <wp:extent cx="1000125" cy="1038225"/>
          <wp:effectExtent l="19050" t="0" r="9525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2ACA">
      <w:rPr>
        <w:sz w:val="16"/>
        <w:lang w:val="es-ES"/>
      </w:rPr>
      <w:t>“2022 – LAS MALVINAS SON ARGENTINAS”</w:t>
    </w:r>
  </w:p>
  <w:p w:rsidR="008F0DD4" w:rsidRDefault="008F0D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F59"/>
    <w:multiLevelType w:val="multilevel"/>
    <w:tmpl w:val="A106F1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7F360A"/>
    <w:multiLevelType w:val="multilevel"/>
    <w:tmpl w:val="4CF600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448C6B09"/>
    <w:multiLevelType w:val="hybridMultilevel"/>
    <w:tmpl w:val="5BEAB388"/>
    <w:lvl w:ilvl="0" w:tplc="E56AA51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color w:val="auto"/>
        <w:spacing w:val="0"/>
        <w:w w:val="99"/>
        <w:sz w:val="24"/>
        <w:szCs w:val="24"/>
      </w:rPr>
    </w:lvl>
    <w:lvl w:ilvl="1" w:tplc="6B16C59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spacing w:val="0"/>
        <w:w w:val="99"/>
        <w:sz w:val="24"/>
        <w:szCs w:val="24"/>
      </w:rPr>
    </w:lvl>
    <w:lvl w:ilvl="2" w:tplc="0C0A0011">
      <w:start w:val="1"/>
      <w:numFmt w:val="decimal"/>
      <w:lvlText w:val="%3)"/>
      <w:lvlJc w:val="left"/>
      <w:pPr>
        <w:ind w:left="1156" w:hanging="360"/>
      </w:pPr>
      <w:rPr>
        <w:rFonts w:hint="default"/>
        <w:spacing w:val="0"/>
        <w:w w:val="99"/>
      </w:rPr>
    </w:lvl>
    <w:lvl w:ilvl="3" w:tplc="0C0A0017">
      <w:start w:val="1"/>
      <w:numFmt w:val="lowerLetter"/>
      <w:lvlText w:val="%4)"/>
      <w:lvlJc w:val="left"/>
      <w:pPr>
        <w:ind w:left="1437" w:hanging="360"/>
      </w:pPr>
      <w:rPr>
        <w:rFonts w:hint="default"/>
        <w:b/>
        <w:color w:val="auto"/>
        <w:spacing w:val="0"/>
        <w:w w:val="99"/>
        <w:sz w:val="24"/>
        <w:szCs w:val="24"/>
      </w:rPr>
    </w:lvl>
    <w:lvl w:ilvl="4" w:tplc="97168D96">
      <w:numFmt w:val="bullet"/>
      <w:lvlText w:val="•"/>
      <w:lvlJc w:val="left"/>
      <w:pPr>
        <w:ind w:left="1200" w:hanging="360"/>
      </w:pPr>
      <w:rPr>
        <w:rFonts w:hint="default"/>
      </w:rPr>
    </w:lvl>
    <w:lvl w:ilvl="5" w:tplc="2FC04AD2">
      <w:numFmt w:val="bullet"/>
      <w:lvlText w:val="•"/>
      <w:lvlJc w:val="left"/>
      <w:pPr>
        <w:ind w:left="1240" w:hanging="360"/>
      </w:pPr>
      <w:rPr>
        <w:rFonts w:hint="default"/>
      </w:rPr>
    </w:lvl>
    <w:lvl w:ilvl="6" w:tplc="B2FA97B8">
      <w:numFmt w:val="bullet"/>
      <w:lvlText w:val="•"/>
      <w:lvlJc w:val="left"/>
      <w:pPr>
        <w:ind w:left="1440" w:hanging="360"/>
      </w:pPr>
      <w:rPr>
        <w:rFonts w:hint="default"/>
      </w:rPr>
    </w:lvl>
    <w:lvl w:ilvl="7" w:tplc="1AC456AE">
      <w:numFmt w:val="bullet"/>
      <w:lvlText w:val="•"/>
      <w:lvlJc w:val="left"/>
      <w:pPr>
        <w:ind w:left="3455" w:hanging="360"/>
      </w:pPr>
      <w:rPr>
        <w:rFonts w:hint="default"/>
      </w:rPr>
    </w:lvl>
    <w:lvl w:ilvl="8" w:tplc="EA3A5E2E">
      <w:numFmt w:val="bullet"/>
      <w:lvlText w:val="•"/>
      <w:lvlJc w:val="left"/>
      <w:pPr>
        <w:ind w:left="5470" w:hanging="360"/>
      </w:pPr>
      <w:rPr>
        <w:rFonts w:hint="default"/>
      </w:rPr>
    </w:lvl>
  </w:abstractNum>
  <w:abstractNum w:abstractNumId="3">
    <w:nsid w:val="4F2A3A66"/>
    <w:multiLevelType w:val="multilevel"/>
    <w:tmpl w:val="FA8EA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6011A62"/>
    <w:multiLevelType w:val="hybridMultilevel"/>
    <w:tmpl w:val="86807168"/>
    <w:lvl w:ilvl="0" w:tplc="D63071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C787434"/>
    <w:multiLevelType w:val="multilevel"/>
    <w:tmpl w:val="4484FF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6A"/>
    <w:rsid w:val="00003D4A"/>
    <w:rsid w:val="00020B9C"/>
    <w:rsid w:val="0003062F"/>
    <w:rsid w:val="00036660"/>
    <w:rsid w:val="00042ACA"/>
    <w:rsid w:val="000537AF"/>
    <w:rsid w:val="00066699"/>
    <w:rsid w:val="00067E76"/>
    <w:rsid w:val="00071C25"/>
    <w:rsid w:val="00073712"/>
    <w:rsid w:val="00087571"/>
    <w:rsid w:val="000E69B6"/>
    <w:rsid w:val="000E6A1F"/>
    <w:rsid w:val="000F1448"/>
    <w:rsid w:val="001500C7"/>
    <w:rsid w:val="00162EAE"/>
    <w:rsid w:val="0016453D"/>
    <w:rsid w:val="001966F2"/>
    <w:rsid w:val="00276427"/>
    <w:rsid w:val="00276D91"/>
    <w:rsid w:val="002A1926"/>
    <w:rsid w:val="002A3A5C"/>
    <w:rsid w:val="002D5918"/>
    <w:rsid w:val="00320671"/>
    <w:rsid w:val="003257D8"/>
    <w:rsid w:val="004A3E28"/>
    <w:rsid w:val="004D1144"/>
    <w:rsid w:val="004D6E6B"/>
    <w:rsid w:val="004F13D3"/>
    <w:rsid w:val="00506381"/>
    <w:rsid w:val="00595496"/>
    <w:rsid w:val="00621659"/>
    <w:rsid w:val="006313ED"/>
    <w:rsid w:val="006335B6"/>
    <w:rsid w:val="0064046C"/>
    <w:rsid w:val="0067658B"/>
    <w:rsid w:val="006A068F"/>
    <w:rsid w:val="006C6449"/>
    <w:rsid w:val="006D194F"/>
    <w:rsid w:val="006E3904"/>
    <w:rsid w:val="00732E73"/>
    <w:rsid w:val="0076388A"/>
    <w:rsid w:val="00797EC6"/>
    <w:rsid w:val="007B6248"/>
    <w:rsid w:val="007D6E0C"/>
    <w:rsid w:val="007F2A5D"/>
    <w:rsid w:val="0083365D"/>
    <w:rsid w:val="00834D0F"/>
    <w:rsid w:val="0083730C"/>
    <w:rsid w:val="0085761C"/>
    <w:rsid w:val="00863A77"/>
    <w:rsid w:val="00866079"/>
    <w:rsid w:val="008730D3"/>
    <w:rsid w:val="0087606A"/>
    <w:rsid w:val="008A5B22"/>
    <w:rsid w:val="008D3F93"/>
    <w:rsid w:val="008F0DD4"/>
    <w:rsid w:val="00933191"/>
    <w:rsid w:val="0093695F"/>
    <w:rsid w:val="00966C5B"/>
    <w:rsid w:val="00982053"/>
    <w:rsid w:val="00996B1F"/>
    <w:rsid w:val="009B1AC7"/>
    <w:rsid w:val="009C296C"/>
    <w:rsid w:val="009D0F44"/>
    <w:rsid w:val="009D29B9"/>
    <w:rsid w:val="009F428C"/>
    <w:rsid w:val="00A57386"/>
    <w:rsid w:val="00A7648D"/>
    <w:rsid w:val="00A8430C"/>
    <w:rsid w:val="00A900FF"/>
    <w:rsid w:val="00A91715"/>
    <w:rsid w:val="00A9289C"/>
    <w:rsid w:val="00AF02C3"/>
    <w:rsid w:val="00B213C0"/>
    <w:rsid w:val="00B65224"/>
    <w:rsid w:val="00B726BE"/>
    <w:rsid w:val="00BB2826"/>
    <w:rsid w:val="00BC5F82"/>
    <w:rsid w:val="00BD5CDA"/>
    <w:rsid w:val="00BD6C93"/>
    <w:rsid w:val="00BE276F"/>
    <w:rsid w:val="00BE3EAB"/>
    <w:rsid w:val="00BE651F"/>
    <w:rsid w:val="00BF7C9E"/>
    <w:rsid w:val="00C13240"/>
    <w:rsid w:val="00C326D8"/>
    <w:rsid w:val="00C37631"/>
    <w:rsid w:val="00C61853"/>
    <w:rsid w:val="00C9138E"/>
    <w:rsid w:val="00CA3C28"/>
    <w:rsid w:val="00CB686D"/>
    <w:rsid w:val="00D002FE"/>
    <w:rsid w:val="00D21B9C"/>
    <w:rsid w:val="00D4281B"/>
    <w:rsid w:val="00D478F9"/>
    <w:rsid w:val="00D526A5"/>
    <w:rsid w:val="00D56265"/>
    <w:rsid w:val="00D650E3"/>
    <w:rsid w:val="00D65122"/>
    <w:rsid w:val="00D657C1"/>
    <w:rsid w:val="00D7646C"/>
    <w:rsid w:val="00D8157D"/>
    <w:rsid w:val="00D83F45"/>
    <w:rsid w:val="00D922FF"/>
    <w:rsid w:val="00DA7278"/>
    <w:rsid w:val="00DD5C8D"/>
    <w:rsid w:val="00E37928"/>
    <w:rsid w:val="00E46028"/>
    <w:rsid w:val="00E4657F"/>
    <w:rsid w:val="00E64ABA"/>
    <w:rsid w:val="00E75C7D"/>
    <w:rsid w:val="00E82D9C"/>
    <w:rsid w:val="00E923C6"/>
    <w:rsid w:val="00E95551"/>
    <w:rsid w:val="00E97CF3"/>
    <w:rsid w:val="00EB6082"/>
    <w:rsid w:val="00F11868"/>
    <w:rsid w:val="00F305B8"/>
    <w:rsid w:val="00F766E2"/>
    <w:rsid w:val="00F76D8F"/>
    <w:rsid w:val="00FB02A8"/>
    <w:rsid w:val="00FE2C03"/>
    <w:rsid w:val="00FF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6A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es-ES"/>
    </w:rPr>
  </w:style>
  <w:style w:type="paragraph" w:styleId="Ttulo1">
    <w:name w:val="heading 1"/>
    <w:basedOn w:val="Normal"/>
    <w:link w:val="Ttulo1Car"/>
    <w:uiPriority w:val="1"/>
    <w:qFormat/>
    <w:rsid w:val="00A9289C"/>
    <w:pPr>
      <w:widowControl w:val="0"/>
      <w:autoSpaceDE w:val="0"/>
      <w:autoSpaceDN w:val="0"/>
      <w:ind w:left="1156"/>
      <w:outlineLvl w:val="0"/>
    </w:pPr>
    <w:rPr>
      <w:rFonts w:eastAsia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06A"/>
    <w:pPr>
      <w:widowControl w:val="0"/>
      <w:tabs>
        <w:tab w:val="center" w:pos="4252"/>
        <w:tab w:val="right" w:pos="8504"/>
      </w:tabs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7606A"/>
    <w:rPr>
      <w:rFonts w:ascii="Arial" w:eastAsia="Arial" w:hAnsi="Arial" w:cs="Arial"/>
      <w:lang w:val="en-US"/>
    </w:rPr>
  </w:style>
  <w:style w:type="paragraph" w:styleId="Sangradetextonormal">
    <w:name w:val="Body Text Indent"/>
    <w:basedOn w:val="Normal"/>
    <w:link w:val="SangradetextonormalCar"/>
    <w:rsid w:val="0087606A"/>
    <w:pPr>
      <w:ind w:left="567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7606A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606A"/>
    <w:pPr>
      <w:widowControl w:val="0"/>
      <w:autoSpaceDE w:val="0"/>
      <w:autoSpaceDN w:val="0"/>
      <w:ind w:left="1156" w:hanging="285"/>
    </w:pPr>
    <w:rPr>
      <w:rFonts w:eastAsia="Arial" w:cs="Arial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D5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918"/>
    <w:rPr>
      <w:rFonts w:ascii="Arial" w:eastAsia="Times New Roman" w:hAnsi="Arial" w:cs="Times New Roman"/>
      <w:sz w:val="3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B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B1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9289C"/>
    <w:rPr>
      <w:rFonts w:ascii="Arial" w:eastAsia="Arial" w:hAnsi="Arial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6A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es-ES"/>
    </w:rPr>
  </w:style>
  <w:style w:type="paragraph" w:styleId="Ttulo1">
    <w:name w:val="heading 1"/>
    <w:basedOn w:val="Normal"/>
    <w:link w:val="Ttulo1Car"/>
    <w:uiPriority w:val="1"/>
    <w:qFormat/>
    <w:rsid w:val="00A9289C"/>
    <w:pPr>
      <w:widowControl w:val="0"/>
      <w:autoSpaceDE w:val="0"/>
      <w:autoSpaceDN w:val="0"/>
      <w:ind w:left="1156"/>
      <w:outlineLvl w:val="0"/>
    </w:pPr>
    <w:rPr>
      <w:rFonts w:eastAsia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06A"/>
    <w:pPr>
      <w:widowControl w:val="0"/>
      <w:tabs>
        <w:tab w:val="center" w:pos="4252"/>
        <w:tab w:val="right" w:pos="8504"/>
      </w:tabs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7606A"/>
    <w:rPr>
      <w:rFonts w:ascii="Arial" w:eastAsia="Arial" w:hAnsi="Arial" w:cs="Arial"/>
      <w:lang w:val="en-US"/>
    </w:rPr>
  </w:style>
  <w:style w:type="paragraph" w:styleId="Sangradetextonormal">
    <w:name w:val="Body Text Indent"/>
    <w:basedOn w:val="Normal"/>
    <w:link w:val="SangradetextonormalCar"/>
    <w:rsid w:val="0087606A"/>
    <w:pPr>
      <w:ind w:left="567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7606A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606A"/>
    <w:pPr>
      <w:widowControl w:val="0"/>
      <w:autoSpaceDE w:val="0"/>
      <w:autoSpaceDN w:val="0"/>
      <w:ind w:left="1156" w:hanging="285"/>
    </w:pPr>
    <w:rPr>
      <w:rFonts w:eastAsia="Arial" w:cs="Arial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2D5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918"/>
    <w:rPr>
      <w:rFonts w:ascii="Arial" w:eastAsia="Times New Roman" w:hAnsi="Arial" w:cs="Times New Roman"/>
      <w:sz w:val="3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B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B1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9289C"/>
    <w:rPr>
      <w:rFonts w:ascii="Arial" w:eastAsia="Arial" w:hAnsi="Arial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CE26-A87E-4AF7-8354-67DC7B77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iose</dc:creator>
  <cp:lastModifiedBy>Abastecimiento</cp:lastModifiedBy>
  <cp:revision>8</cp:revision>
  <cp:lastPrinted>2023-09-07T11:51:00Z</cp:lastPrinted>
  <dcterms:created xsi:type="dcterms:W3CDTF">2023-09-05T12:30:00Z</dcterms:created>
  <dcterms:modified xsi:type="dcterms:W3CDTF">2023-09-15T20:04:00Z</dcterms:modified>
</cp:coreProperties>
</file>